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7" w:rsidRDefault="00056167" w:rsidP="00056167">
      <w:pPr>
        <w:pStyle w:val="NoSpacing"/>
      </w:pPr>
      <w:bookmarkStart w:id="0" w:name="_GoBack"/>
      <w:r>
        <w:t>Note: It is recommended that bleachers/grandstands be inspected by a licensed professional every few years. Some district insurance policies may require professional inspections annually.</w:t>
      </w:r>
    </w:p>
    <w:p w:rsidR="00056167" w:rsidRDefault="00056167" w:rsidP="00056167">
      <w:pPr>
        <w:pStyle w:val="NoSpacing"/>
      </w:pPr>
    </w:p>
    <w:p w:rsidR="00056167" w:rsidRPr="00B93C94" w:rsidRDefault="00056167" w:rsidP="00056167">
      <w:pPr>
        <w:pStyle w:val="NoSpacing"/>
      </w:pPr>
      <w:r w:rsidRPr="00B93C94">
        <w:t>School _________________________________________________________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Bleacher Location 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Year Installed ___________________________________________________</w:t>
      </w:r>
    </w:p>
    <w:p w:rsidR="00056167" w:rsidRPr="003538B9" w:rsidRDefault="00056167" w:rsidP="00056167">
      <w:pPr>
        <w:pStyle w:val="NoSpacing"/>
      </w:pPr>
      <w:r w:rsidRPr="003538B9">
        <w:t>From 1/1/2010 on, must comply with IBC and Chapters 1-4 of ICC 300.</w:t>
      </w:r>
      <w:r>
        <w:t xml:space="preserve"> Consult district architect.</w:t>
      </w:r>
    </w:p>
    <w:p w:rsidR="00056167" w:rsidRPr="003538B9" w:rsidRDefault="00056167" w:rsidP="00056167">
      <w:pPr>
        <w:pStyle w:val="NoSpacing"/>
      </w:pPr>
      <w:r w:rsidRPr="003538B9">
        <w:t>Prior to 1/1/2010, must comply with Chapter 5 of ICC 300.</w:t>
      </w:r>
      <w:r>
        <w:t xml:space="preserve"> Consult district architect.</w:t>
      </w:r>
    </w:p>
    <w:p w:rsidR="00056167" w:rsidRPr="00B93C94" w:rsidRDefault="00056167" w:rsidP="00056167">
      <w:pPr>
        <w:pStyle w:val="NoSpacing"/>
      </w:pPr>
      <w:r w:rsidRPr="00B93C94">
        <w:t xml:space="preserve">Bleacher Type:     Fixed      Moveable </w:t>
      </w:r>
    </w:p>
    <w:p w:rsidR="00056167" w:rsidRPr="00B93C94" w:rsidRDefault="00056167" w:rsidP="00056167">
      <w:pPr>
        <w:pStyle w:val="NoSpacing"/>
      </w:pPr>
    </w:p>
    <w:p w:rsidR="00056167" w:rsidRPr="00B93C94" w:rsidRDefault="00056167" w:rsidP="00056167">
      <w:pPr>
        <w:pStyle w:val="NoSpacing"/>
        <w:rPr>
          <w:b/>
        </w:rPr>
      </w:pPr>
      <w:r w:rsidRPr="00B93C94">
        <w:rPr>
          <w:b/>
        </w:rPr>
        <w:t xml:space="preserve">Condition: </w:t>
      </w:r>
      <w:r w:rsidRPr="00B93C94">
        <w:rPr>
          <w:b/>
        </w:rPr>
        <w:sym w:font="Wingdings" w:char="F0FC"/>
      </w:r>
      <w:r w:rsidRPr="00B93C94">
        <w:rPr>
          <w:b/>
        </w:rPr>
        <w:t xml:space="preserve"> = OK or list missing/deteriorated/damaged parts:</w:t>
      </w:r>
    </w:p>
    <w:p w:rsidR="00056167" w:rsidRPr="00B93C94" w:rsidRDefault="00056167" w:rsidP="00056167">
      <w:pPr>
        <w:pStyle w:val="NoSpacing"/>
      </w:pPr>
    </w:p>
    <w:p w:rsidR="00056167" w:rsidRPr="00B93C94" w:rsidRDefault="00056167" w:rsidP="00056167">
      <w:pPr>
        <w:pStyle w:val="NoSpacing"/>
      </w:pPr>
      <w:r w:rsidRPr="00B93C94">
        <w:t>Compliance with Manufacturer’s Instructions__________________________</w:t>
      </w:r>
    </w:p>
    <w:p w:rsidR="00056167" w:rsidRPr="00B93C94" w:rsidRDefault="00056167" w:rsidP="00056167">
      <w:pPr>
        <w:pStyle w:val="NoSpacing"/>
      </w:pPr>
      <w:r w:rsidRPr="00B93C94">
        <w:t>End Rails ______________________________________________________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Front Rails 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Back Rails 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Aisle Rails 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Support Frames/Welded Connections ________________________________</w:t>
      </w:r>
    </w:p>
    <w:p w:rsidR="00056167" w:rsidRPr="00B93C94" w:rsidRDefault="00056167" w:rsidP="00056167">
      <w:pPr>
        <w:pStyle w:val="NoSpacing"/>
      </w:pPr>
      <w:r w:rsidRPr="00B93C94">
        <w:t>Row Locks 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Intermediate Footboard Supports ____________________________________</w:t>
      </w:r>
    </w:p>
    <w:p w:rsidR="00056167" w:rsidRPr="00B93C94" w:rsidRDefault="00056167" w:rsidP="00056167">
      <w:pPr>
        <w:pStyle w:val="NoSpacing"/>
      </w:pPr>
      <w:r w:rsidRPr="00B93C94">
        <w:t>Cross Braces 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Motors and Controls 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Riser Beams 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Cantilever Arms 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Footboards 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Seats __________________________________________________________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Aisle Steps _____________________________________________________</w:t>
      </w:r>
    </w:p>
    <w:p w:rsidR="00056167" w:rsidRPr="00B93C94" w:rsidRDefault="00056167" w:rsidP="00056167">
      <w:pPr>
        <w:pStyle w:val="NoSpacing"/>
        <w:rPr>
          <w:b/>
        </w:rPr>
      </w:pPr>
      <w:r w:rsidRPr="00B93C94">
        <w:t>Bolts/Nuts</w:t>
      </w:r>
      <w:r w:rsidRPr="00B93C94">
        <w:rPr>
          <w:b/>
        </w:rPr>
        <w:t xml:space="preserve"> _____________________________________________________</w:t>
      </w:r>
    </w:p>
    <w:p w:rsidR="00056167" w:rsidRPr="00B93C94" w:rsidRDefault="00056167" w:rsidP="00056167">
      <w:pPr>
        <w:pStyle w:val="NoSpacing"/>
        <w:rPr>
          <w:b/>
        </w:rPr>
      </w:pPr>
      <w:r w:rsidRPr="00B93C94">
        <w:t>Rollers Function as Designed</w:t>
      </w:r>
      <w:r w:rsidRPr="00B93C94">
        <w:rPr>
          <w:b/>
        </w:rPr>
        <w:t>_______________________________________</w:t>
      </w:r>
    </w:p>
    <w:p w:rsidR="00056167" w:rsidRPr="00B93C94" w:rsidRDefault="00056167" w:rsidP="00056167">
      <w:pPr>
        <w:pStyle w:val="NoSpacing"/>
      </w:pPr>
      <w:r w:rsidRPr="00B93C94">
        <w:t>Accessibility Compliance _________________________________________</w:t>
      </w:r>
    </w:p>
    <w:p w:rsidR="00056167" w:rsidRPr="00B93C94" w:rsidRDefault="00056167" w:rsidP="00056167">
      <w:pPr>
        <w:pStyle w:val="NoSpacing"/>
      </w:pPr>
      <w:r w:rsidRPr="00B93C94">
        <w:t xml:space="preserve">If more than 30” above floor/ground, the opening between </w:t>
      </w:r>
      <w:proofErr w:type="spellStart"/>
      <w:r w:rsidRPr="00B93C94">
        <w:t>seatboard</w:t>
      </w:r>
      <w:proofErr w:type="spellEnd"/>
      <w:r w:rsidRPr="00B93C94">
        <w:t xml:space="preserve"> and </w:t>
      </w:r>
    </w:p>
    <w:p w:rsidR="00056167" w:rsidRPr="00B93C94" w:rsidRDefault="00056167" w:rsidP="00056167">
      <w:pPr>
        <w:pStyle w:val="NoSpacing"/>
      </w:pPr>
      <w:proofErr w:type="gramStart"/>
      <w:r w:rsidRPr="00B93C94">
        <w:t>footboard</w:t>
      </w:r>
      <w:proofErr w:type="gramEnd"/>
      <w:r w:rsidRPr="00B93C94">
        <w:t xml:space="preserve"> must be such that a 4” sphere cannot pass through. _____________  </w:t>
      </w:r>
    </w:p>
    <w:p w:rsidR="00056167" w:rsidRPr="00B93C94" w:rsidRDefault="00056167" w:rsidP="00056167">
      <w:pPr>
        <w:pStyle w:val="NoSpacing"/>
      </w:pPr>
    </w:p>
    <w:p w:rsidR="00056167" w:rsidRPr="00B93C94" w:rsidRDefault="00056167" w:rsidP="00056167">
      <w:pPr>
        <w:pStyle w:val="NoSpacing"/>
      </w:pPr>
      <w:r w:rsidRPr="00B93C94">
        <w:t>Plan for repair: 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_______________________________________________________________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_______________________________________________________________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Other remarks: 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t>_______________________________________________________________</w:t>
      </w:r>
    </w:p>
    <w:p w:rsidR="00056167" w:rsidRPr="00B93C94" w:rsidRDefault="00056167" w:rsidP="00056167">
      <w:pPr>
        <w:pStyle w:val="NoSpacing"/>
      </w:pPr>
      <w:r w:rsidRPr="00B93C94">
        <w:br/>
        <w:t>Inspected by __________________________________ Date ______________</w:t>
      </w:r>
    </w:p>
    <w:bookmarkEnd w:id="0"/>
    <w:p w:rsidR="00957DC5" w:rsidRDefault="00957DC5" w:rsidP="00957DC5">
      <w:pPr>
        <w:spacing w:after="0"/>
      </w:pPr>
    </w:p>
    <w:p w:rsidR="00445687" w:rsidRDefault="00097302" w:rsidP="00957DC5">
      <w:pPr>
        <w:spacing w:after="0"/>
      </w:pPr>
    </w:p>
    <w:sectPr w:rsidR="00445687" w:rsidSect="00957DC5">
      <w:headerReference w:type="default" r:id="rId7"/>
      <w:pgSz w:w="12422" w:h="16022"/>
      <w:pgMar w:top="260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02" w:rsidRDefault="00097302">
      <w:pPr>
        <w:spacing w:after="0"/>
      </w:pPr>
      <w:r>
        <w:separator/>
      </w:r>
    </w:p>
  </w:endnote>
  <w:endnote w:type="continuationSeparator" w:id="0">
    <w:p w:rsidR="00097302" w:rsidRDefault="000973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02" w:rsidRDefault="00097302">
      <w:pPr>
        <w:spacing w:after="0"/>
      </w:pPr>
      <w:r>
        <w:separator/>
      </w:r>
    </w:p>
  </w:footnote>
  <w:footnote w:type="continuationSeparator" w:id="0">
    <w:p w:rsidR="00097302" w:rsidRDefault="000973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C4" w:rsidRDefault="002303C4" w:rsidP="002303C4">
    <w:pPr>
      <w:pStyle w:val="Header"/>
      <w:jc w:val="right"/>
      <w:rPr>
        <w:rFonts w:ascii="Garamond" w:hAnsi="Garamond"/>
        <w:b/>
      </w:rPr>
    </w:pPr>
  </w:p>
  <w:p w:rsidR="002303C4" w:rsidRDefault="002303C4" w:rsidP="002303C4">
    <w:pPr>
      <w:pStyle w:val="Header"/>
      <w:jc w:val="right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15300" cy="10401300"/>
          <wp:effectExtent l="0" t="0" r="0" b="0"/>
          <wp:wrapNone/>
          <wp:docPr id="2" name="Picture 2" descr="ROE 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Letterhead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0" cy="1040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</w:rPr>
      <w:t xml:space="preserve">John </w:t>
    </w:r>
    <w:proofErr w:type="spellStart"/>
    <w:r>
      <w:rPr>
        <w:rFonts w:ascii="Garamond" w:hAnsi="Garamond"/>
        <w:b/>
      </w:rPr>
      <w:t>Meixner</w:t>
    </w:r>
    <w:proofErr w:type="spellEnd"/>
  </w:p>
  <w:p w:rsidR="002303C4" w:rsidRDefault="002303C4" w:rsidP="002303C4">
    <w:pPr>
      <w:pStyle w:val="Header"/>
      <w:jc w:val="right"/>
      <w:rPr>
        <w:rFonts w:ascii="Garamond" w:hAnsi="Garamond"/>
        <w:b/>
      </w:rPr>
    </w:pPr>
    <w:r>
      <w:rPr>
        <w:rFonts w:ascii="Garamond" w:hAnsi="Garamond"/>
        <w:b/>
      </w:rPr>
      <w:t>Regional Superintendent of Schools</w:t>
    </w:r>
  </w:p>
  <w:p w:rsidR="002303C4" w:rsidRDefault="002303C4" w:rsidP="002303C4">
    <w:pPr>
      <w:pStyle w:val="Header"/>
      <w:jc w:val="right"/>
      <w:rPr>
        <w:rFonts w:ascii="Garamond" w:hAnsi="Garamond"/>
        <w:b/>
      </w:rPr>
    </w:pPr>
  </w:p>
  <w:p w:rsidR="002303C4" w:rsidRDefault="00680798" w:rsidP="002303C4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Tel: (309) 575-3226</w:t>
    </w:r>
    <w:r w:rsidR="002303C4">
      <w:rPr>
        <w:rFonts w:ascii="Garamond" w:hAnsi="Garamond"/>
      </w:rPr>
      <w:t xml:space="preserve">   Fax: (309) 837-2887</w:t>
    </w:r>
  </w:p>
  <w:p w:rsidR="00E84A42" w:rsidRPr="002303C4" w:rsidRDefault="00680798" w:rsidP="002303C4">
    <w:pPr>
      <w:pStyle w:val="Header"/>
      <w:jc w:val="right"/>
    </w:pPr>
    <w:r>
      <w:rPr>
        <w:rFonts w:ascii="Garamond" w:hAnsi="Garamond"/>
      </w:rPr>
      <w:t>jmeixner@roe26.net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42"/>
    <w:rsid w:val="00056167"/>
    <w:rsid w:val="00097302"/>
    <w:rsid w:val="002303C4"/>
    <w:rsid w:val="00294814"/>
    <w:rsid w:val="00680798"/>
    <w:rsid w:val="00957DC5"/>
    <w:rsid w:val="00BE05B8"/>
    <w:rsid w:val="00C83BAF"/>
    <w:rsid w:val="00C9180B"/>
    <w:rsid w:val="00E84A42"/>
    <w:rsid w:val="00E94A7E"/>
    <w:rsid w:val="00EB5868"/>
    <w:rsid w:val="00ED1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E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A4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A42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56167"/>
    <w:pPr>
      <w:spacing w:after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E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A4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A42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McCains</cp:lastModifiedBy>
  <cp:revision>2</cp:revision>
  <cp:lastPrinted>2015-07-05T17:11:00Z</cp:lastPrinted>
  <dcterms:created xsi:type="dcterms:W3CDTF">2015-09-23T18:50:00Z</dcterms:created>
  <dcterms:modified xsi:type="dcterms:W3CDTF">2015-09-23T18:50:00Z</dcterms:modified>
</cp:coreProperties>
</file>